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F813" w14:textId="39C55C65" w:rsidR="00EF21A5" w:rsidRPr="00D61C5F" w:rsidRDefault="00EF21A5" w:rsidP="00EF21A5">
      <w:pPr>
        <w:pStyle w:val="Normlnweb"/>
        <w:rPr>
          <w:rFonts w:ascii="Arial" w:hAnsi="Arial" w:cs="Arial"/>
          <w:sz w:val="27"/>
          <w:szCs w:val="27"/>
        </w:rPr>
      </w:pPr>
      <w:r w:rsidRPr="00D61C5F">
        <w:rPr>
          <w:rStyle w:val="Siln"/>
          <w:rFonts w:ascii="Arial" w:hAnsi="Arial" w:cs="Arial"/>
          <w:sz w:val="27"/>
          <w:szCs w:val="27"/>
        </w:rPr>
        <w:t>Litý gumový povrch EPDM/SBR</w:t>
      </w:r>
      <w:r w:rsidR="0036547D">
        <w:rPr>
          <w:rFonts w:ascii="Arial" w:hAnsi="Arial" w:cs="Arial"/>
        </w:rPr>
        <w:pict w14:anchorId="1F812DC3">
          <v:rect id="_x0000_i1025" style="width:0;height:1.5pt" o:hralign="center" o:hrstd="t" o:hr="t" fillcolor="#a0a0a0" stroked="f"/>
        </w:pict>
      </w:r>
    </w:p>
    <w:p w14:paraId="64F5EC62" w14:textId="77777777" w:rsidR="00EF21A5" w:rsidRPr="008238FB" w:rsidRDefault="00EF21A5" w:rsidP="00EF21A5">
      <w:pPr>
        <w:pStyle w:val="Nadpis3"/>
        <w:rPr>
          <w:rFonts w:ascii="Arial" w:hAnsi="Arial" w:cs="Arial"/>
          <w:sz w:val="24"/>
          <w:szCs w:val="24"/>
        </w:rPr>
      </w:pPr>
      <w:r w:rsidRPr="008238FB">
        <w:rPr>
          <w:rFonts w:ascii="Arial" w:hAnsi="Arial" w:cs="Arial"/>
          <w:sz w:val="24"/>
          <w:szCs w:val="24"/>
        </w:rPr>
        <w:t>Popis prvku</w:t>
      </w:r>
    </w:p>
    <w:p w14:paraId="2357A6FC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>Litý gumový povrch je moderní, bezpečný a estetický povrch vhodný pro dětská hřiště, sportoviště a rekreační prostory. Skládá se ze dvou vrstev: spodní vrstvy SBR a vrchní dekorativní vrstvy EPDM, které dohromady zajišťují ochranu proti úrazům, odolnost proti opotřebení a atraktivní vzhled.</w:t>
      </w:r>
    </w:p>
    <w:p w14:paraId="74ADD042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Povrch může být realizován jak na standardní drenážní podkladní skladbě, tak i na </w:t>
      </w:r>
      <w:r w:rsidRPr="008238FB">
        <w:rPr>
          <w:rStyle w:val="Siln"/>
          <w:rFonts w:ascii="Arial" w:hAnsi="Arial" w:cs="Arial"/>
        </w:rPr>
        <w:t>stávajících zpevněných površích (např. asfalt)</w:t>
      </w:r>
      <w:r w:rsidRPr="008238FB">
        <w:rPr>
          <w:rFonts w:ascii="Arial" w:hAnsi="Arial" w:cs="Arial"/>
        </w:rPr>
        <w:t xml:space="preserve"> za předpokladu jejich úpravy pro zajištění odvodu vody.</w:t>
      </w:r>
    </w:p>
    <w:p w14:paraId="4B1B7574" w14:textId="77777777" w:rsidR="008238FB" w:rsidRPr="008238FB" w:rsidRDefault="0036547D" w:rsidP="00823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56D493">
          <v:rect id="_x0000_i1026" style="width:0;height:1.5pt" o:hralign="center" o:hrstd="t" o:hr="t" fillcolor="#a0a0a0" stroked="f"/>
        </w:pict>
      </w:r>
    </w:p>
    <w:p w14:paraId="7775B82E" w14:textId="77777777" w:rsidR="008238FB" w:rsidRPr="008238FB" w:rsidRDefault="008238FB" w:rsidP="008238FB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238FB">
        <w:rPr>
          <w:rFonts w:ascii="Arial" w:hAnsi="Arial" w:cs="Arial"/>
          <w:b/>
          <w:bCs/>
          <w:color w:val="auto"/>
          <w:sz w:val="24"/>
          <w:szCs w:val="24"/>
        </w:rPr>
        <w:t>Charakter konstrukce</w:t>
      </w:r>
    </w:p>
    <w:p w14:paraId="7A27C321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Povrch je realizován jako </w:t>
      </w:r>
      <w:r w:rsidRPr="008238FB">
        <w:rPr>
          <w:rStyle w:val="Siln"/>
          <w:rFonts w:ascii="Arial" w:hAnsi="Arial" w:cs="Arial"/>
        </w:rPr>
        <w:t>dvouvrstvá litá konstrukce</w:t>
      </w:r>
      <w:r w:rsidRPr="008238FB">
        <w:rPr>
          <w:rFonts w:ascii="Arial" w:hAnsi="Arial" w:cs="Arial"/>
        </w:rPr>
        <w:t>:</w:t>
      </w:r>
    </w:p>
    <w:p w14:paraId="6275C418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Vrchní vrstva – EPDM</w:t>
      </w:r>
      <w:r w:rsidRPr="008238FB">
        <w:rPr>
          <w:rFonts w:ascii="Arial" w:hAnsi="Arial" w:cs="Arial"/>
        </w:rPr>
        <w:br/>
        <w:t xml:space="preserve">barevný EPDM granulát spojený polyuretanovým pojivem, tloušťka </w:t>
      </w:r>
      <w:r w:rsidRPr="008238FB">
        <w:rPr>
          <w:rStyle w:val="Siln"/>
          <w:rFonts w:ascii="Arial" w:hAnsi="Arial" w:cs="Arial"/>
        </w:rPr>
        <w:t>11 mm</w:t>
      </w:r>
      <w:r w:rsidRPr="008238FB">
        <w:rPr>
          <w:rFonts w:ascii="Arial" w:hAnsi="Arial" w:cs="Arial"/>
        </w:rPr>
        <w:t>.</w:t>
      </w:r>
    </w:p>
    <w:p w14:paraId="5AF0B757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Spodní vrstva – SBR</w:t>
      </w:r>
      <w:r w:rsidRPr="008238FB">
        <w:rPr>
          <w:rFonts w:ascii="Arial" w:hAnsi="Arial" w:cs="Arial"/>
        </w:rPr>
        <w:br/>
        <w:t>recyklovaný gumový granulát SBR, tloušťka dle požadované kritické výšky pádu.</w:t>
      </w:r>
    </w:p>
    <w:p w14:paraId="750C8DA8" w14:textId="77777777" w:rsidR="008238FB" w:rsidRPr="008238FB" w:rsidRDefault="0036547D" w:rsidP="00823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25B6DD">
          <v:rect id="_x0000_i1027" style="width:0;height:1.5pt" o:hralign="center" o:hrstd="t" o:hr="t" fillcolor="#a0a0a0" stroked="f"/>
        </w:pict>
      </w:r>
    </w:p>
    <w:p w14:paraId="7DA361CF" w14:textId="77777777" w:rsidR="008238FB" w:rsidRPr="008238FB" w:rsidRDefault="008238FB" w:rsidP="008238FB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238FB">
        <w:rPr>
          <w:rFonts w:ascii="Arial" w:hAnsi="Arial" w:cs="Arial"/>
          <w:b/>
          <w:bCs/>
          <w:color w:val="auto"/>
          <w:sz w:val="24"/>
          <w:szCs w:val="24"/>
        </w:rPr>
        <w:t>Varianta realizace na stávající asfalt</w:t>
      </w:r>
    </w:p>
    <w:p w14:paraId="7FEC4518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V místech, kde je dopadový povrch realizován na </w:t>
      </w:r>
      <w:r w:rsidRPr="008238FB">
        <w:rPr>
          <w:rStyle w:val="Siln"/>
          <w:rFonts w:ascii="Arial" w:hAnsi="Arial" w:cs="Arial"/>
        </w:rPr>
        <w:t>stávajícím asfaltovém podkladu</w:t>
      </w:r>
      <w:r w:rsidRPr="008238FB">
        <w:rPr>
          <w:rFonts w:ascii="Arial" w:hAnsi="Arial" w:cs="Arial"/>
        </w:rPr>
        <w:t>, je nutné zajistit dodatečnou vodopropustnost.</w:t>
      </w:r>
    </w:p>
    <w:p w14:paraId="2623B683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Stávající asfalt bude proto </w:t>
      </w:r>
      <w:r w:rsidRPr="008238FB">
        <w:rPr>
          <w:rStyle w:val="Siln"/>
          <w:rFonts w:ascii="Arial" w:hAnsi="Arial" w:cs="Arial"/>
        </w:rPr>
        <w:t>perforován drenážními vrty v množství cca 4 ks / m²</w:t>
      </w:r>
      <w:r w:rsidRPr="008238FB">
        <w:rPr>
          <w:rFonts w:ascii="Arial" w:hAnsi="Arial" w:cs="Arial"/>
        </w:rPr>
        <w:t>.</w:t>
      </w:r>
    </w:p>
    <w:p w14:paraId="431D7EC1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>Parametry vrtů:</w:t>
      </w:r>
    </w:p>
    <w:p w14:paraId="5D9490AC" w14:textId="77777777" w:rsidR="008238FB" w:rsidRPr="008238FB" w:rsidRDefault="008238FB" w:rsidP="008238FB">
      <w:pPr>
        <w:pStyle w:val="Normlnweb"/>
        <w:numPr>
          <w:ilvl w:val="0"/>
          <w:numId w:val="10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průměr vrtu </w:t>
      </w:r>
      <w:r w:rsidRPr="008238FB">
        <w:rPr>
          <w:rStyle w:val="Siln"/>
          <w:rFonts w:ascii="Arial" w:hAnsi="Arial" w:cs="Arial"/>
        </w:rPr>
        <w:t>Ø 20–30 mm</w:t>
      </w:r>
    </w:p>
    <w:p w14:paraId="277EF92B" w14:textId="77777777" w:rsidR="008238FB" w:rsidRPr="008238FB" w:rsidRDefault="008238FB" w:rsidP="008238FB">
      <w:pPr>
        <w:pStyle w:val="Normlnweb"/>
        <w:numPr>
          <w:ilvl w:val="0"/>
          <w:numId w:val="10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>vrt skrz celou tloušťku asfaltové vrstvy</w:t>
      </w:r>
    </w:p>
    <w:p w14:paraId="4D29A290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>Na upravený asfalt bude následně provedena skladba:</w:t>
      </w:r>
    </w:p>
    <w:p w14:paraId="514E5424" w14:textId="77777777" w:rsidR="008238FB" w:rsidRPr="008238FB" w:rsidRDefault="008238FB" w:rsidP="008238FB">
      <w:pPr>
        <w:pStyle w:val="Normlnweb"/>
        <w:numPr>
          <w:ilvl w:val="0"/>
          <w:numId w:val="11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SBR vrstva – 30 mm</w:t>
      </w:r>
    </w:p>
    <w:p w14:paraId="44FEBD26" w14:textId="77777777" w:rsidR="008238FB" w:rsidRPr="008238FB" w:rsidRDefault="008238FB" w:rsidP="008238FB">
      <w:pPr>
        <w:pStyle w:val="Normlnweb"/>
        <w:numPr>
          <w:ilvl w:val="0"/>
          <w:numId w:val="11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EPDM vrstva – 11 mm</w:t>
      </w:r>
    </w:p>
    <w:p w14:paraId="7BAB2CFF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Tato skladba je použita pouze v místech, kde nejsou instalovány herní prvky s kritickou výškou pádu vyšší než </w:t>
      </w:r>
      <w:r w:rsidRPr="008238FB">
        <w:rPr>
          <w:rStyle w:val="Siln"/>
          <w:rFonts w:ascii="Arial" w:hAnsi="Arial" w:cs="Arial"/>
        </w:rPr>
        <w:t>1,0 m</w:t>
      </w:r>
      <w:r w:rsidRPr="008238FB">
        <w:rPr>
          <w:rFonts w:ascii="Arial" w:hAnsi="Arial" w:cs="Arial"/>
        </w:rPr>
        <w:t>.</w:t>
      </w:r>
    </w:p>
    <w:p w14:paraId="70EA3CCD" w14:textId="77777777" w:rsidR="008238FB" w:rsidRPr="008238FB" w:rsidRDefault="0036547D" w:rsidP="00823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E4FD40">
          <v:rect id="_x0000_i1028" style="width:0;height:1.5pt" o:hralign="center" o:hrstd="t" o:hr="t" fillcolor="#a0a0a0" stroked="f"/>
        </w:pict>
      </w:r>
    </w:p>
    <w:p w14:paraId="652B8293" w14:textId="77777777" w:rsidR="008238FB" w:rsidRPr="008238FB" w:rsidRDefault="008238FB" w:rsidP="008238FB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238F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Standardní skladba na drenážním podkladu</w:t>
      </w:r>
    </w:p>
    <w:p w14:paraId="00014049" w14:textId="26A22B4F" w:rsidR="008238FB" w:rsidRPr="0036547D" w:rsidRDefault="008238FB" w:rsidP="0036547D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Zhutněné podloží</w:t>
      </w:r>
      <w:r w:rsidRPr="008238FB">
        <w:rPr>
          <w:rFonts w:ascii="Arial" w:hAnsi="Arial" w:cs="Arial"/>
        </w:rPr>
        <w:br/>
        <w:t xml:space="preserve">min. únosnost </w:t>
      </w:r>
      <w:r w:rsidRPr="008238FB">
        <w:rPr>
          <w:rStyle w:val="Siln"/>
          <w:rFonts w:ascii="Arial" w:hAnsi="Arial" w:cs="Arial"/>
        </w:rPr>
        <w:t>25 MPa</w:t>
      </w:r>
    </w:p>
    <w:p w14:paraId="2323EFB5" w14:textId="0B7BEE15" w:rsidR="008238FB" w:rsidRPr="0036547D" w:rsidRDefault="008238FB" w:rsidP="008238FB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Štěrková drenážní vrstva</w:t>
      </w:r>
      <w:r w:rsidRPr="008238FB">
        <w:rPr>
          <w:rFonts w:ascii="Arial" w:hAnsi="Arial" w:cs="Arial"/>
        </w:rPr>
        <w:br/>
        <w:t xml:space="preserve">frakce </w:t>
      </w:r>
      <w:r w:rsidRPr="008238FB">
        <w:rPr>
          <w:rStyle w:val="Siln"/>
          <w:rFonts w:ascii="Arial" w:hAnsi="Arial" w:cs="Arial"/>
        </w:rPr>
        <w:t>0–32 mm</w:t>
      </w:r>
      <w:r w:rsidRPr="008238FB">
        <w:rPr>
          <w:rFonts w:ascii="Arial" w:hAnsi="Arial" w:cs="Arial"/>
        </w:rPr>
        <w:br/>
        <w:t xml:space="preserve">tloušťka </w:t>
      </w:r>
      <w:r w:rsidRPr="008238FB">
        <w:rPr>
          <w:rStyle w:val="Siln"/>
          <w:rFonts w:ascii="Arial" w:hAnsi="Arial" w:cs="Arial"/>
        </w:rPr>
        <w:t>200 mm</w:t>
      </w:r>
    </w:p>
    <w:p w14:paraId="4C14045E" w14:textId="5E231E66" w:rsidR="008238FB" w:rsidRPr="0036547D" w:rsidRDefault="008238FB" w:rsidP="008238FB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Vyrovnávací vrstva</w:t>
      </w:r>
      <w:r w:rsidRPr="008238FB">
        <w:rPr>
          <w:rFonts w:ascii="Arial" w:hAnsi="Arial" w:cs="Arial"/>
        </w:rPr>
        <w:br/>
        <w:t xml:space="preserve">lomový prach </w:t>
      </w:r>
      <w:r w:rsidRPr="008238FB">
        <w:rPr>
          <w:rStyle w:val="Siln"/>
          <w:rFonts w:ascii="Arial" w:hAnsi="Arial" w:cs="Arial"/>
        </w:rPr>
        <w:t>0–4 mm</w:t>
      </w:r>
      <w:r w:rsidRPr="008238FB">
        <w:rPr>
          <w:rFonts w:ascii="Arial" w:hAnsi="Arial" w:cs="Arial"/>
        </w:rPr>
        <w:br/>
        <w:t xml:space="preserve">tloušťka </w:t>
      </w:r>
      <w:r w:rsidRPr="008238FB">
        <w:rPr>
          <w:rStyle w:val="Siln"/>
          <w:rFonts w:ascii="Arial" w:hAnsi="Arial" w:cs="Arial"/>
        </w:rPr>
        <w:t>20 mm</w:t>
      </w:r>
    </w:p>
    <w:p w14:paraId="78408E86" w14:textId="6CB907D8" w:rsidR="008238FB" w:rsidRPr="0036547D" w:rsidRDefault="008238FB" w:rsidP="008238FB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Tlumicí vrstva</w:t>
      </w:r>
      <w:r w:rsidRPr="008238FB">
        <w:rPr>
          <w:rFonts w:ascii="Arial" w:hAnsi="Arial" w:cs="Arial"/>
        </w:rPr>
        <w:br/>
        <w:t>SBR granulát</w:t>
      </w:r>
      <w:r w:rsidRPr="008238FB">
        <w:rPr>
          <w:rFonts w:ascii="Arial" w:hAnsi="Arial" w:cs="Arial"/>
        </w:rPr>
        <w:br/>
        <w:t xml:space="preserve">tloušťka </w:t>
      </w:r>
      <w:r w:rsidRPr="008238FB">
        <w:rPr>
          <w:rStyle w:val="Siln"/>
          <w:rFonts w:ascii="Arial" w:hAnsi="Arial" w:cs="Arial"/>
        </w:rPr>
        <w:t>30–120 mm</w:t>
      </w:r>
      <w:r w:rsidRPr="008238FB">
        <w:rPr>
          <w:rFonts w:ascii="Arial" w:hAnsi="Arial" w:cs="Arial"/>
        </w:rPr>
        <w:t xml:space="preserve"> dle kritické výšky pádu</w:t>
      </w:r>
    </w:p>
    <w:p w14:paraId="04E1CBBA" w14:textId="77777777" w:rsidR="008238FB" w:rsidRPr="008238FB" w:rsidRDefault="008238FB" w:rsidP="008238FB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Nášlapná vrstva</w:t>
      </w:r>
      <w:r w:rsidRPr="008238FB">
        <w:rPr>
          <w:rFonts w:ascii="Arial" w:hAnsi="Arial" w:cs="Arial"/>
        </w:rPr>
        <w:br/>
        <w:t>EPDM granulát</w:t>
      </w:r>
      <w:r w:rsidRPr="008238FB">
        <w:rPr>
          <w:rFonts w:ascii="Arial" w:hAnsi="Arial" w:cs="Arial"/>
        </w:rPr>
        <w:br/>
        <w:t xml:space="preserve">tloušťka </w:t>
      </w:r>
      <w:r w:rsidRPr="008238FB">
        <w:rPr>
          <w:rStyle w:val="Siln"/>
          <w:rFonts w:ascii="Arial" w:hAnsi="Arial" w:cs="Arial"/>
        </w:rPr>
        <w:t>11 mm</w:t>
      </w:r>
    </w:p>
    <w:p w14:paraId="655148E7" w14:textId="77777777" w:rsidR="008238FB" w:rsidRPr="008238FB" w:rsidRDefault="0036547D" w:rsidP="00823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D4463B">
          <v:rect id="_x0000_i1029" style="width:0;height:1.5pt" o:hralign="center" o:hrstd="t" o:hr="t" fillcolor="#a0a0a0" stroked="f"/>
        </w:pict>
      </w:r>
    </w:p>
    <w:p w14:paraId="7A66B7CE" w14:textId="77777777" w:rsidR="008238FB" w:rsidRPr="008238FB" w:rsidRDefault="008238FB" w:rsidP="008238FB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8238FB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51A65DA2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Vrchní vrstva EPDM</w:t>
      </w:r>
    </w:p>
    <w:p w14:paraId="7662FD2B" w14:textId="77777777" w:rsidR="008238FB" w:rsidRPr="008238FB" w:rsidRDefault="008238FB" w:rsidP="008238FB">
      <w:pPr>
        <w:pStyle w:val="Normlnweb"/>
        <w:numPr>
          <w:ilvl w:val="0"/>
          <w:numId w:val="12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obsah polymeru min. </w:t>
      </w:r>
      <w:r w:rsidRPr="008238FB">
        <w:rPr>
          <w:rStyle w:val="Siln"/>
          <w:rFonts w:ascii="Arial" w:hAnsi="Arial" w:cs="Arial"/>
        </w:rPr>
        <w:t>21 %</w:t>
      </w:r>
    </w:p>
    <w:p w14:paraId="4E975B59" w14:textId="77777777" w:rsidR="008238FB" w:rsidRPr="008238FB" w:rsidRDefault="008238FB" w:rsidP="008238FB">
      <w:pPr>
        <w:pStyle w:val="Normlnweb"/>
        <w:numPr>
          <w:ilvl w:val="0"/>
          <w:numId w:val="12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velikost granulí </w:t>
      </w:r>
      <w:r w:rsidRPr="008238FB">
        <w:rPr>
          <w:rStyle w:val="Siln"/>
          <w:rFonts w:ascii="Arial" w:hAnsi="Arial" w:cs="Arial"/>
        </w:rPr>
        <w:t>1–3,5 mm</w:t>
      </w:r>
    </w:p>
    <w:p w14:paraId="1F984192" w14:textId="77777777" w:rsidR="008238FB" w:rsidRPr="008238FB" w:rsidRDefault="008238FB" w:rsidP="008238FB">
      <w:pPr>
        <w:pStyle w:val="Normlnweb"/>
        <w:numPr>
          <w:ilvl w:val="0"/>
          <w:numId w:val="12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>UV stabilizovaný materiál</w:t>
      </w:r>
    </w:p>
    <w:p w14:paraId="2F184885" w14:textId="77777777" w:rsidR="008238FB" w:rsidRPr="008238FB" w:rsidRDefault="008238FB" w:rsidP="008238FB">
      <w:pPr>
        <w:pStyle w:val="Normlnweb"/>
        <w:numPr>
          <w:ilvl w:val="0"/>
          <w:numId w:val="12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>pojivo polyuretanová pryskyřice</w:t>
      </w:r>
    </w:p>
    <w:p w14:paraId="51A2DEEC" w14:textId="77777777" w:rsidR="008238FB" w:rsidRPr="008238FB" w:rsidRDefault="008238FB" w:rsidP="008238FB">
      <w:pPr>
        <w:pStyle w:val="Normlnweb"/>
        <w:rPr>
          <w:rFonts w:ascii="Arial" w:hAnsi="Arial" w:cs="Arial"/>
        </w:rPr>
      </w:pPr>
      <w:r w:rsidRPr="008238FB">
        <w:rPr>
          <w:rStyle w:val="Siln"/>
          <w:rFonts w:ascii="Arial" w:hAnsi="Arial" w:cs="Arial"/>
        </w:rPr>
        <w:t>Spodní vrstva SBR</w:t>
      </w:r>
    </w:p>
    <w:p w14:paraId="704EDDF2" w14:textId="77777777" w:rsidR="008238FB" w:rsidRPr="008238FB" w:rsidRDefault="008238FB" w:rsidP="008238FB">
      <w:pPr>
        <w:pStyle w:val="Normlnweb"/>
        <w:numPr>
          <w:ilvl w:val="0"/>
          <w:numId w:val="13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>recyklovaný pryžový granulát</w:t>
      </w:r>
    </w:p>
    <w:p w14:paraId="1CA5816E" w14:textId="77777777" w:rsidR="008238FB" w:rsidRPr="008238FB" w:rsidRDefault="008238FB" w:rsidP="008238FB">
      <w:pPr>
        <w:pStyle w:val="Normlnweb"/>
        <w:numPr>
          <w:ilvl w:val="0"/>
          <w:numId w:val="13"/>
        </w:numPr>
        <w:rPr>
          <w:rFonts w:ascii="Arial" w:hAnsi="Arial" w:cs="Arial"/>
        </w:rPr>
      </w:pPr>
      <w:r w:rsidRPr="008238FB">
        <w:rPr>
          <w:rFonts w:ascii="Arial" w:hAnsi="Arial" w:cs="Arial"/>
        </w:rPr>
        <w:t xml:space="preserve">frakce </w:t>
      </w:r>
      <w:r w:rsidRPr="008238FB">
        <w:rPr>
          <w:rStyle w:val="Siln"/>
          <w:rFonts w:ascii="Arial" w:hAnsi="Arial" w:cs="Arial"/>
        </w:rPr>
        <w:t>2–6 mm</w:t>
      </w:r>
    </w:p>
    <w:p w14:paraId="1B4CA8D5" w14:textId="77777777" w:rsidR="008238FB" w:rsidRPr="008238FB" w:rsidRDefault="0036547D" w:rsidP="00823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97384C">
          <v:rect id="_x0000_i1030" style="width:0;height:1.5pt" o:hralign="center" o:hrstd="t" o:hr="t" fillcolor="#a0a0a0" stroked="f"/>
        </w:pict>
      </w:r>
    </w:p>
    <w:p w14:paraId="66F5B3BE" w14:textId="665AC4FD" w:rsidR="008238FB" w:rsidRPr="0036547D" w:rsidRDefault="008238FB" w:rsidP="0036547D">
      <w:pPr>
        <w:rPr>
          <w:rFonts w:ascii="Arial" w:eastAsiaTheme="majorEastAsia" w:hAnsi="Arial" w:cs="Arial"/>
          <w:b/>
          <w:bCs/>
          <w:sz w:val="24"/>
          <w:szCs w:val="24"/>
        </w:rPr>
      </w:pPr>
      <w:r w:rsidRPr="008238FB">
        <w:rPr>
          <w:rFonts w:ascii="Arial" w:hAnsi="Arial" w:cs="Arial"/>
          <w:b/>
          <w:bCs/>
          <w:sz w:val="24"/>
          <w:szCs w:val="24"/>
        </w:rPr>
        <w:t>Technické údaje</w:t>
      </w:r>
    </w:p>
    <w:p w14:paraId="3B32355D" w14:textId="77777777" w:rsidR="008238FB" w:rsidRPr="00EF21A5" w:rsidRDefault="008238FB" w:rsidP="008238FB">
      <w:pPr>
        <w:pStyle w:val="Normlnweb"/>
        <w:numPr>
          <w:ilvl w:val="0"/>
          <w:numId w:val="9"/>
        </w:numPr>
        <w:rPr>
          <w:rFonts w:ascii="Arial" w:hAnsi="Arial" w:cs="Arial"/>
        </w:rPr>
      </w:pPr>
      <w:r w:rsidRPr="00EF21A5">
        <w:rPr>
          <w:rStyle w:val="Siln"/>
          <w:rFonts w:ascii="Arial" w:hAnsi="Arial" w:cs="Arial"/>
        </w:rPr>
        <w:t>Vodopropustnost</w:t>
      </w:r>
      <w:r w:rsidRPr="00EF21A5">
        <w:rPr>
          <w:rFonts w:ascii="Arial" w:hAnsi="Arial" w:cs="Arial"/>
        </w:rPr>
        <w:t>: dle EN 12616:2013</w:t>
      </w:r>
    </w:p>
    <w:p w14:paraId="1035F486" w14:textId="77777777" w:rsidR="008238FB" w:rsidRPr="00EF21A5" w:rsidRDefault="008238FB" w:rsidP="008238FB">
      <w:pPr>
        <w:pStyle w:val="Normlnweb"/>
        <w:numPr>
          <w:ilvl w:val="0"/>
          <w:numId w:val="9"/>
        </w:numPr>
        <w:rPr>
          <w:rFonts w:ascii="Arial" w:hAnsi="Arial" w:cs="Arial"/>
        </w:rPr>
      </w:pPr>
      <w:r w:rsidRPr="00EF21A5">
        <w:rPr>
          <w:rStyle w:val="Siln"/>
          <w:rFonts w:ascii="Arial" w:hAnsi="Arial" w:cs="Arial"/>
        </w:rPr>
        <w:t>Odolnost proti skluzu a abrazivnímu opotřebení</w:t>
      </w:r>
      <w:r w:rsidRPr="00EF21A5">
        <w:rPr>
          <w:rFonts w:ascii="Arial" w:hAnsi="Arial" w:cs="Arial"/>
        </w:rPr>
        <w:t>: dle BS 7188:1998 + A2:2009</w:t>
      </w:r>
    </w:p>
    <w:p w14:paraId="00F273F4" w14:textId="77777777" w:rsidR="008238FB" w:rsidRPr="00EF21A5" w:rsidRDefault="008238FB" w:rsidP="008238FB">
      <w:pPr>
        <w:pStyle w:val="Normlnweb"/>
        <w:numPr>
          <w:ilvl w:val="0"/>
          <w:numId w:val="9"/>
        </w:numPr>
        <w:rPr>
          <w:rFonts w:ascii="Arial" w:hAnsi="Arial" w:cs="Arial"/>
        </w:rPr>
      </w:pPr>
      <w:r w:rsidRPr="00EF21A5">
        <w:rPr>
          <w:rStyle w:val="Siln"/>
          <w:rFonts w:ascii="Arial" w:hAnsi="Arial" w:cs="Arial"/>
        </w:rPr>
        <w:t>Reakce na oheň</w:t>
      </w:r>
      <w:r w:rsidRPr="00EF21A5">
        <w:rPr>
          <w:rFonts w:ascii="Arial" w:hAnsi="Arial" w:cs="Arial"/>
        </w:rPr>
        <w:t>: EN ISO 11925-2, EN 13501-1+A1:2010 – nehořlavý materiál</w:t>
      </w:r>
    </w:p>
    <w:p w14:paraId="7056FEC0" w14:textId="77777777" w:rsidR="008238FB" w:rsidRPr="00EF21A5" w:rsidRDefault="008238FB" w:rsidP="008238FB">
      <w:pPr>
        <w:pStyle w:val="Normlnweb"/>
        <w:numPr>
          <w:ilvl w:val="0"/>
          <w:numId w:val="9"/>
        </w:numPr>
        <w:rPr>
          <w:rFonts w:ascii="Arial" w:hAnsi="Arial" w:cs="Arial"/>
        </w:rPr>
      </w:pPr>
      <w:r w:rsidRPr="00EF21A5">
        <w:rPr>
          <w:rStyle w:val="Siln"/>
          <w:rFonts w:ascii="Arial" w:hAnsi="Arial" w:cs="Arial"/>
        </w:rPr>
        <w:t>Atesty</w:t>
      </w:r>
      <w:r w:rsidRPr="00EF21A5">
        <w:rPr>
          <w:rFonts w:ascii="Arial" w:hAnsi="Arial" w:cs="Arial"/>
        </w:rPr>
        <w:t>:</w:t>
      </w:r>
    </w:p>
    <w:p w14:paraId="547804E9" w14:textId="77777777" w:rsidR="008238FB" w:rsidRPr="00EF21A5" w:rsidRDefault="008238FB" w:rsidP="008238FB">
      <w:pPr>
        <w:pStyle w:val="Normlnweb"/>
        <w:numPr>
          <w:ilvl w:val="1"/>
          <w:numId w:val="9"/>
        </w:numPr>
        <w:rPr>
          <w:rFonts w:ascii="Arial" w:hAnsi="Arial" w:cs="Arial"/>
        </w:rPr>
      </w:pPr>
      <w:r w:rsidRPr="00EF21A5">
        <w:rPr>
          <w:rFonts w:ascii="Arial" w:hAnsi="Arial" w:cs="Arial"/>
        </w:rPr>
        <w:t>ČSN EN 1176, ČSN EN 1177 (bezpečnost dětských hřišť)</w:t>
      </w:r>
    </w:p>
    <w:p w14:paraId="1B613916" w14:textId="77777777" w:rsidR="008238FB" w:rsidRDefault="008238FB" w:rsidP="008238FB">
      <w:pPr>
        <w:pStyle w:val="Normlnweb"/>
        <w:numPr>
          <w:ilvl w:val="1"/>
          <w:numId w:val="9"/>
        </w:numPr>
        <w:rPr>
          <w:rFonts w:ascii="Arial" w:hAnsi="Arial" w:cs="Arial"/>
        </w:rPr>
      </w:pPr>
      <w:r w:rsidRPr="00EF21A5">
        <w:rPr>
          <w:rFonts w:ascii="Arial" w:hAnsi="Arial" w:cs="Arial"/>
        </w:rPr>
        <w:t>REACH Annex XVII (bez ftalátů)</w:t>
      </w:r>
    </w:p>
    <w:p w14:paraId="6FC4AD03" w14:textId="6A1C1569" w:rsidR="00EF21A5" w:rsidRPr="00EF21A5" w:rsidRDefault="00EF21A5" w:rsidP="00EF21A5">
      <w:pPr>
        <w:pStyle w:val="Normlnweb"/>
        <w:rPr>
          <w:rFonts w:ascii="Arial" w:hAnsi="Arial" w:cs="Arial"/>
        </w:rPr>
      </w:pPr>
      <w:r>
        <w:rPr>
          <w:rFonts w:ascii="Arial" w:hAnsi="Arial" w:cs="Arial"/>
          <w:noProof/>
          <w:color w:val="333333"/>
          <w:sz w:val="20"/>
          <w:szCs w:val="20"/>
          <w:shd w:val="clear" w:color="auto" w:fill="FFFFFF"/>
        </w:rPr>
        <w:lastRenderedPageBreak/>
        <w:drawing>
          <wp:inline distT="0" distB="0" distL="0" distR="0" wp14:anchorId="1F57FA9A" wp14:editId="3A32FAB1">
            <wp:extent cx="5944127" cy="23241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2" t="30679" r="3802" b="18501"/>
                    <a:stretch/>
                  </pic:blipFill>
                  <pic:spPr bwMode="auto">
                    <a:xfrm>
                      <a:off x="0" y="0"/>
                      <a:ext cx="5948685" cy="2325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7910DC" w14:textId="77777777" w:rsidR="00EF21A5" w:rsidRPr="00EF21A5" w:rsidRDefault="00EF21A5" w:rsidP="00EF21A5">
      <w:pPr>
        <w:pStyle w:val="Normlnweb"/>
        <w:rPr>
          <w:rFonts w:ascii="Arial" w:hAnsi="Arial" w:cs="Arial"/>
        </w:rPr>
      </w:pPr>
      <w:r w:rsidRPr="00EF21A5">
        <w:rPr>
          <w:rStyle w:val="Zdraznn"/>
          <w:rFonts w:ascii="Arial" w:hAnsi="Arial" w:cs="Arial"/>
        </w:rPr>
        <w:t>Povrch bude proveden podle pokynů výrobce a projektové dokumentace. Konstrukce splňuje požadavky na bezpečnost a ekologii dle platných evropských norem.</w:t>
      </w:r>
    </w:p>
    <w:p w14:paraId="00062F90" w14:textId="1A5400EC" w:rsidR="00BA3605" w:rsidRPr="00BA4C15" w:rsidRDefault="00BA3605" w:rsidP="00EF21A5">
      <w:pPr>
        <w:pStyle w:val="Normlnweb"/>
        <w:rPr>
          <w:rFonts w:ascii="Arial" w:hAnsi="Arial" w:cs="Arial"/>
        </w:rPr>
      </w:pPr>
    </w:p>
    <w:sectPr w:rsidR="00BA3605" w:rsidRPr="00BA4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32CB"/>
    <w:multiLevelType w:val="multilevel"/>
    <w:tmpl w:val="9056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40F67"/>
    <w:multiLevelType w:val="multilevel"/>
    <w:tmpl w:val="3976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C2B8E"/>
    <w:multiLevelType w:val="multilevel"/>
    <w:tmpl w:val="2C0A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E91274"/>
    <w:multiLevelType w:val="multilevel"/>
    <w:tmpl w:val="344E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91DD1"/>
    <w:multiLevelType w:val="hybridMultilevel"/>
    <w:tmpl w:val="A81A5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15616"/>
    <w:multiLevelType w:val="multilevel"/>
    <w:tmpl w:val="8B28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9B4281"/>
    <w:multiLevelType w:val="multilevel"/>
    <w:tmpl w:val="0E16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074EF"/>
    <w:multiLevelType w:val="multilevel"/>
    <w:tmpl w:val="8104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8E5C24"/>
    <w:multiLevelType w:val="multilevel"/>
    <w:tmpl w:val="15E2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947CF"/>
    <w:multiLevelType w:val="multilevel"/>
    <w:tmpl w:val="1CCE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575615"/>
    <w:multiLevelType w:val="multilevel"/>
    <w:tmpl w:val="6198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9E606D"/>
    <w:multiLevelType w:val="multilevel"/>
    <w:tmpl w:val="E070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17D4"/>
    <w:multiLevelType w:val="multilevel"/>
    <w:tmpl w:val="B1D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BE734A"/>
    <w:multiLevelType w:val="multilevel"/>
    <w:tmpl w:val="3F1C8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B73AC6"/>
    <w:multiLevelType w:val="multilevel"/>
    <w:tmpl w:val="008C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14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2"/>
  </w:num>
  <w:num w:numId="11">
    <w:abstractNumId w:val="10"/>
  </w:num>
  <w:num w:numId="12">
    <w:abstractNumId w:val="5"/>
  </w:num>
  <w:num w:numId="13">
    <w:abstractNumId w:val="0"/>
  </w:num>
  <w:num w:numId="14">
    <w:abstractNumId w:val="13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E22D4"/>
    <w:rsid w:val="001F310E"/>
    <w:rsid w:val="002B644D"/>
    <w:rsid w:val="0036547D"/>
    <w:rsid w:val="00386CF9"/>
    <w:rsid w:val="00417C27"/>
    <w:rsid w:val="004571C8"/>
    <w:rsid w:val="00550506"/>
    <w:rsid w:val="00773DA1"/>
    <w:rsid w:val="0079134B"/>
    <w:rsid w:val="008232F1"/>
    <w:rsid w:val="008238FB"/>
    <w:rsid w:val="008E3EB7"/>
    <w:rsid w:val="0090183E"/>
    <w:rsid w:val="00BA3605"/>
    <w:rsid w:val="00BA4C15"/>
    <w:rsid w:val="00BB6F89"/>
    <w:rsid w:val="00C105FB"/>
    <w:rsid w:val="00CE67AA"/>
    <w:rsid w:val="00D61C5F"/>
    <w:rsid w:val="00D76ADA"/>
    <w:rsid w:val="00E64B17"/>
    <w:rsid w:val="00EF21A5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238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1Char">
    <w:name w:val="Nadpis 1 Char"/>
    <w:basedOn w:val="Standardnpsmoodstavce"/>
    <w:link w:val="Nadpis1"/>
    <w:uiPriority w:val="9"/>
    <w:rsid w:val="00823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823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45933-E0EB-41D9-98CE-6026344C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331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20</cp:revision>
  <dcterms:created xsi:type="dcterms:W3CDTF">2024-12-16T09:30:00Z</dcterms:created>
  <dcterms:modified xsi:type="dcterms:W3CDTF">2026-03-12T16:28:00Z</dcterms:modified>
</cp:coreProperties>
</file>